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566"/>
        <w:gridCol w:w="986"/>
        <w:gridCol w:w="877"/>
        <w:gridCol w:w="574"/>
        <w:gridCol w:w="738"/>
        <w:gridCol w:w="608"/>
        <w:gridCol w:w="397"/>
        <w:gridCol w:w="2400"/>
      </w:tblGrid>
      <w:tr w:rsidR="00B80176" w:rsidRPr="00456E50" w14:paraId="7B714458" w14:textId="77777777" w:rsidTr="003D47F0">
        <w:tc>
          <w:tcPr>
            <w:tcW w:w="8418" w:type="dxa"/>
            <w:gridSpan w:val="9"/>
          </w:tcPr>
          <w:p w14:paraId="0F3B9289" w14:textId="77777777" w:rsidR="00B80176" w:rsidRPr="00B80176" w:rsidRDefault="00B80176" w:rsidP="00B80176">
            <w:pPr>
              <w:jc w:val="center"/>
              <w:rPr>
                <w:rFonts w:ascii="Calibri" w:hAnsi="Calibri"/>
                <w:szCs w:val="18"/>
              </w:rPr>
            </w:pPr>
            <w:r w:rsidRPr="00B80176">
              <w:rPr>
                <w:rFonts w:ascii="Calibri" w:hAnsi="Calibri"/>
                <w:b/>
                <w:szCs w:val="18"/>
              </w:rPr>
              <w:t>MASTER EN ASESORÍA JURÍDICA DE LA EMPRESA 20</w:t>
            </w:r>
            <w:r w:rsidR="00531993">
              <w:rPr>
                <w:rFonts w:ascii="Calibri" w:hAnsi="Calibri"/>
                <w:b/>
                <w:szCs w:val="18"/>
              </w:rPr>
              <w:t>21</w:t>
            </w:r>
            <w:r w:rsidRPr="00B80176">
              <w:rPr>
                <w:rFonts w:ascii="Calibri" w:hAnsi="Calibri"/>
                <w:b/>
                <w:szCs w:val="18"/>
              </w:rPr>
              <w:t>/202</w:t>
            </w:r>
            <w:r w:rsidR="00531993">
              <w:rPr>
                <w:rFonts w:ascii="Calibri" w:hAnsi="Calibri"/>
                <w:b/>
                <w:szCs w:val="18"/>
              </w:rPr>
              <w:t>2</w:t>
            </w:r>
          </w:p>
        </w:tc>
      </w:tr>
      <w:tr w:rsidR="00CB412E" w:rsidRPr="00456E50" w14:paraId="370CEB7C" w14:textId="77777777" w:rsidTr="00B80176">
        <w:tc>
          <w:tcPr>
            <w:tcW w:w="1272" w:type="dxa"/>
          </w:tcPr>
          <w:p w14:paraId="4357D51C" w14:textId="77777777" w:rsidR="00CB412E" w:rsidRPr="00456E50" w:rsidRDefault="00CB412E" w:rsidP="00575843">
            <w:pPr>
              <w:rPr>
                <w:rFonts w:ascii="Calibri" w:hAnsi="Calibri"/>
                <w:b/>
                <w:sz w:val="18"/>
                <w:szCs w:val="18"/>
              </w:rPr>
            </w:pPr>
          </w:p>
          <w:p w14:paraId="1B9777CE" w14:textId="77777777" w:rsidR="00CB412E" w:rsidRPr="00456E50" w:rsidRDefault="00CB412E" w:rsidP="00575843">
            <w:pPr>
              <w:rPr>
                <w:rFonts w:ascii="Calibri" w:hAnsi="Calibri"/>
                <w:b/>
                <w:sz w:val="18"/>
                <w:szCs w:val="18"/>
              </w:rPr>
            </w:pPr>
            <w:r w:rsidRPr="00456E50">
              <w:rPr>
                <w:rFonts w:ascii="Calibri" w:hAnsi="Calibri"/>
                <w:b/>
                <w:sz w:val="18"/>
                <w:szCs w:val="18"/>
              </w:rPr>
              <w:t>Asignatura</w:t>
            </w:r>
          </w:p>
        </w:tc>
        <w:tc>
          <w:tcPr>
            <w:tcW w:w="7146" w:type="dxa"/>
            <w:gridSpan w:val="8"/>
            <w:vAlign w:val="bottom"/>
          </w:tcPr>
          <w:p w14:paraId="1CDBCB24" w14:textId="77777777" w:rsidR="00CB412E" w:rsidRPr="00456E50" w:rsidRDefault="00575843" w:rsidP="00B80176">
            <w:pPr>
              <w:jc w:val="center"/>
              <w:rPr>
                <w:rFonts w:ascii="Calibri" w:hAnsi="Calibri"/>
                <w:sz w:val="18"/>
                <w:szCs w:val="18"/>
              </w:rPr>
            </w:pPr>
            <w:r>
              <w:rPr>
                <w:rFonts w:ascii="Calibri" w:hAnsi="Calibri"/>
                <w:sz w:val="18"/>
                <w:szCs w:val="18"/>
              </w:rPr>
              <w:t>Elementos de Derecho del Trabajo fundamentales para la empresa</w:t>
            </w:r>
          </w:p>
        </w:tc>
      </w:tr>
      <w:tr w:rsidR="00CB412E" w:rsidRPr="00456E50" w14:paraId="0AF5CD3F" w14:textId="77777777" w:rsidTr="003444E3">
        <w:tc>
          <w:tcPr>
            <w:tcW w:w="1272" w:type="dxa"/>
          </w:tcPr>
          <w:p w14:paraId="05B2D1DC" w14:textId="77777777" w:rsidR="00CB412E" w:rsidRPr="00456E50" w:rsidRDefault="00CB412E" w:rsidP="00575843">
            <w:pPr>
              <w:rPr>
                <w:rFonts w:ascii="Calibri" w:hAnsi="Calibri"/>
                <w:b/>
                <w:sz w:val="18"/>
                <w:szCs w:val="18"/>
              </w:rPr>
            </w:pPr>
          </w:p>
          <w:p w14:paraId="3829A849" w14:textId="77777777" w:rsidR="00CB412E" w:rsidRPr="00456E50" w:rsidRDefault="00CB412E" w:rsidP="00575843">
            <w:pPr>
              <w:rPr>
                <w:rFonts w:ascii="Calibri" w:hAnsi="Calibri"/>
                <w:b/>
                <w:sz w:val="18"/>
                <w:szCs w:val="18"/>
              </w:rPr>
            </w:pPr>
            <w:r w:rsidRPr="00456E50">
              <w:rPr>
                <w:rFonts w:ascii="Calibri" w:hAnsi="Calibri"/>
                <w:b/>
                <w:sz w:val="18"/>
                <w:szCs w:val="18"/>
              </w:rPr>
              <w:t>Carácter</w:t>
            </w:r>
          </w:p>
        </w:tc>
        <w:tc>
          <w:tcPr>
            <w:tcW w:w="2429" w:type="dxa"/>
            <w:gridSpan w:val="3"/>
          </w:tcPr>
          <w:p w14:paraId="3129B750" w14:textId="77777777" w:rsidR="00CB412E" w:rsidRPr="00456E50" w:rsidRDefault="00CB412E" w:rsidP="00575843">
            <w:pPr>
              <w:rPr>
                <w:rFonts w:ascii="Calibri" w:hAnsi="Calibri"/>
                <w:sz w:val="18"/>
                <w:szCs w:val="18"/>
              </w:rPr>
            </w:pPr>
          </w:p>
          <w:p w14:paraId="286A33C8" w14:textId="77777777" w:rsidR="00CB412E" w:rsidRPr="00456E50" w:rsidRDefault="00CB412E" w:rsidP="00575843">
            <w:pPr>
              <w:rPr>
                <w:rFonts w:ascii="Calibri" w:hAnsi="Calibri"/>
                <w:sz w:val="18"/>
                <w:szCs w:val="18"/>
              </w:rPr>
            </w:pPr>
            <w:r w:rsidRPr="00456E50">
              <w:rPr>
                <w:rFonts w:ascii="Calibri" w:hAnsi="Calibri"/>
                <w:sz w:val="18"/>
                <w:szCs w:val="18"/>
              </w:rPr>
              <w:t>optativa</w:t>
            </w:r>
          </w:p>
        </w:tc>
        <w:tc>
          <w:tcPr>
            <w:tcW w:w="574" w:type="dxa"/>
          </w:tcPr>
          <w:p w14:paraId="0D515095" w14:textId="77777777" w:rsidR="00CB412E" w:rsidRPr="00456E50" w:rsidRDefault="00CB412E" w:rsidP="00575843">
            <w:pPr>
              <w:rPr>
                <w:rFonts w:ascii="Calibri" w:hAnsi="Calibri"/>
                <w:b/>
                <w:sz w:val="18"/>
                <w:szCs w:val="18"/>
              </w:rPr>
            </w:pPr>
          </w:p>
          <w:p w14:paraId="038D1E34" w14:textId="77777777" w:rsidR="00CB412E" w:rsidRPr="00456E50" w:rsidRDefault="00CB412E" w:rsidP="00575843">
            <w:pPr>
              <w:rPr>
                <w:rFonts w:ascii="Calibri" w:hAnsi="Calibri"/>
                <w:b/>
                <w:sz w:val="18"/>
                <w:szCs w:val="18"/>
              </w:rPr>
            </w:pPr>
            <w:r w:rsidRPr="00456E50">
              <w:rPr>
                <w:rFonts w:ascii="Calibri" w:hAnsi="Calibri"/>
                <w:b/>
                <w:sz w:val="18"/>
                <w:szCs w:val="18"/>
              </w:rPr>
              <w:t>ECTS</w:t>
            </w:r>
          </w:p>
        </w:tc>
        <w:tc>
          <w:tcPr>
            <w:tcW w:w="738" w:type="dxa"/>
          </w:tcPr>
          <w:p w14:paraId="57CC5B99" w14:textId="77777777" w:rsidR="00CB412E" w:rsidRPr="00456E50" w:rsidRDefault="00CB412E" w:rsidP="00575843">
            <w:pPr>
              <w:rPr>
                <w:rFonts w:ascii="Calibri" w:hAnsi="Calibri"/>
                <w:sz w:val="18"/>
                <w:szCs w:val="18"/>
              </w:rPr>
            </w:pPr>
          </w:p>
          <w:p w14:paraId="55E2EAF3" w14:textId="77777777" w:rsidR="00CB412E" w:rsidRPr="00456E50" w:rsidRDefault="00575843" w:rsidP="00575843">
            <w:pPr>
              <w:rPr>
                <w:rFonts w:ascii="Calibri" w:hAnsi="Calibri"/>
                <w:sz w:val="18"/>
                <w:szCs w:val="18"/>
              </w:rPr>
            </w:pPr>
            <w:r>
              <w:rPr>
                <w:rFonts w:ascii="Calibri" w:hAnsi="Calibri"/>
                <w:sz w:val="18"/>
                <w:szCs w:val="18"/>
              </w:rPr>
              <w:t>3</w:t>
            </w:r>
          </w:p>
        </w:tc>
        <w:tc>
          <w:tcPr>
            <w:tcW w:w="1005" w:type="dxa"/>
            <w:gridSpan w:val="2"/>
          </w:tcPr>
          <w:p w14:paraId="7D5C5B78" w14:textId="77777777" w:rsidR="00CB412E" w:rsidRPr="00456E50" w:rsidRDefault="00CB412E" w:rsidP="00575843">
            <w:pPr>
              <w:rPr>
                <w:rFonts w:ascii="Calibri" w:hAnsi="Calibri"/>
                <w:b/>
                <w:sz w:val="18"/>
                <w:szCs w:val="18"/>
              </w:rPr>
            </w:pPr>
          </w:p>
          <w:p w14:paraId="5B2DF9B6" w14:textId="77777777" w:rsidR="00CB412E" w:rsidRPr="00456E50" w:rsidRDefault="00CB412E" w:rsidP="00575843">
            <w:pPr>
              <w:rPr>
                <w:rFonts w:ascii="Calibri" w:hAnsi="Calibri"/>
                <w:b/>
                <w:sz w:val="18"/>
                <w:szCs w:val="18"/>
              </w:rPr>
            </w:pPr>
            <w:r w:rsidRPr="00456E50">
              <w:rPr>
                <w:rFonts w:ascii="Calibri" w:hAnsi="Calibri"/>
                <w:b/>
                <w:sz w:val="18"/>
                <w:szCs w:val="18"/>
              </w:rPr>
              <w:t>Duración</w:t>
            </w:r>
          </w:p>
        </w:tc>
        <w:tc>
          <w:tcPr>
            <w:tcW w:w="2400" w:type="dxa"/>
          </w:tcPr>
          <w:p w14:paraId="0DD1A359" w14:textId="77777777" w:rsidR="00CB412E" w:rsidRPr="00456E50" w:rsidRDefault="00CB412E" w:rsidP="00575843">
            <w:pPr>
              <w:rPr>
                <w:rFonts w:ascii="Calibri" w:hAnsi="Calibri"/>
                <w:sz w:val="18"/>
                <w:szCs w:val="18"/>
              </w:rPr>
            </w:pPr>
          </w:p>
          <w:p w14:paraId="3E7433D8" w14:textId="77777777" w:rsidR="00CB412E" w:rsidRPr="00456E50" w:rsidRDefault="00CB412E" w:rsidP="00575843">
            <w:pPr>
              <w:rPr>
                <w:rFonts w:ascii="Calibri" w:hAnsi="Calibri"/>
                <w:sz w:val="18"/>
                <w:szCs w:val="18"/>
              </w:rPr>
            </w:pPr>
            <w:r w:rsidRPr="00456E50">
              <w:rPr>
                <w:rFonts w:ascii="Calibri" w:hAnsi="Calibri"/>
                <w:sz w:val="18"/>
                <w:szCs w:val="18"/>
              </w:rPr>
              <w:t>cuatrimestral/semestral</w:t>
            </w:r>
          </w:p>
        </w:tc>
      </w:tr>
      <w:tr w:rsidR="00B80176" w:rsidRPr="00456E50" w14:paraId="2C5AB1BE" w14:textId="77777777" w:rsidTr="00B80176">
        <w:tc>
          <w:tcPr>
            <w:tcW w:w="1272" w:type="dxa"/>
          </w:tcPr>
          <w:p w14:paraId="12CFB352" w14:textId="77777777" w:rsidR="00B80176" w:rsidRPr="00456E50" w:rsidRDefault="00B80176" w:rsidP="00575843">
            <w:pPr>
              <w:rPr>
                <w:rFonts w:ascii="Calibri" w:hAnsi="Calibri"/>
                <w:b/>
                <w:sz w:val="18"/>
                <w:szCs w:val="18"/>
              </w:rPr>
            </w:pPr>
            <w:r>
              <w:rPr>
                <w:rFonts w:ascii="Calibri" w:hAnsi="Calibri"/>
                <w:b/>
                <w:sz w:val="18"/>
                <w:szCs w:val="18"/>
              </w:rPr>
              <w:t>Código</w:t>
            </w:r>
          </w:p>
        </w:tc>
        <w:tc>
          <w:tcPr>
            <w:tcW w:w="1552" w:type="dxa"/>
            <w:gridSpan w:val="2"/>
          </w:tcPr>
          <w:p w14:paraId="451F0491" w14:textId="77777777" w:rsidR="00B80176" w:rsidRPr="00456E50" w:rsidRDefault="00B80176" w:rsidP="00575843">
            <w:pPr>
              <w:rPr>
                <w:rFonts w:ascii="Calibri" w:hAnsi="Calibri"/>
                <w:b/>
                <w:sz w:val="18"/>
                <w:szCs w:val="18"/>
              </w:rPr>
            </w:pPr>
            <w:r>
              <w:rPr>
                <w:rFonts w:ascii="Calibri" w:hAnsi="Calibri"/>
                <w:b/>
                <w:sz w:val="18"/>
                <w:szCs w:val="18"/>
              </w:rPr>
              <w:t>1161712</w:t>
            </w:r>
          </w:p>
        </w:tc>
        <w:tc>
          <w:tcPr>
            <w:tcW w:w="2797" w:type="dxa"/>
            <w:gridSpan w:val="4"/>
          </w:tcPr>
          <w:p w14:paraId="51FEF5DB" w14:textId="77777777" w:rsidR="00B80176" w:rsidRPr="00456E50" w:rsidRDefault="00B80176" w:rsidP="00B80176">
            <w:pPr>
              <w:jc w:val="right"/>
              <w:rPr>
                <w:rFonts w:ascii="Calibri" w:hAnsi="Calibri"/>
                <w:sz w:val="18"/>
                <w:szCs w:val="18"/>
              </w:rPr>
            </w:pPr>
            <w:r>
              <w:rPr>
                <w:rFonts w:ascii="Calibri" w:hAnsi="Calibri"/>
                <w:sz w:val="18"/>
                <w:szCs w:val="18"/>
              </w:rPr>
              <w:t>Idioma</w:t>
            </w:r>
          </w:p>
        </w:tc>
        <w:tc>
          <w:tcPr>
            <w:tcW w:w="2797" w:type="dxa"/>
            <w:gridSpan w:val="2"/>
          </w:tcPr>
          <w:p w14:paraId="3D2AC1D4" w14:textId="77777777" w:rsidR="00B80176" w:rsidRPr="00456E50" w:rsidRDefault="00B80176" w:rsidP="00575843">
            <w:pPr>
              <w:rPr>
                <w:rFonts w:ascii="Calibri" w:hAnsi="Calibri"/>
                <w:sz w:val="18"/>
                <w:szCs w:val="18"/>
              </w:rPr>
            </w:pPr>
            <w:r>
              <w:rPr>
                <w:rFonts w:ascii="Calibri" w:hAnsi="Calibri"/>
                <w:sz w:val="18"/>
                <w:szCs w:val="18"/>
              </w:rPr>
              <w:t>Castellano</w:t>
            </w:r>
          </w:p>
        </w:tc>
      </w:tr>
      <w:tr w:rsidR="00B80176" w:rsidRPr="00456E50" w14:paraId="5C70458A" w14:textId="77777777" w:rsidTr="00B80176">
        <w:tc>
          <w:tcPr>
            <w:tcW w:w="1272" w:type="dxa"/>
          </w:tcPr>
          <w:p w14:paraId="2E6183B1" w14:textId="77777777" w:rsidR="00B80176" w:rsidRDefault="00B80176" w:rsidP="00575843">
            <w:pPr>
              <w:rPr>
                <w:rFonts w:ascii="Calibri" w:hAnsi="Calibri"/>
                <w:b/>
                <w:sz w:val="18"/>
                <w:szCs w:val="18"/>
              </w:rPr>
            </w:pPr>
            <w:r>
              <w:rPr>
                <w:rFonts w:ascii="Calibri" w:hAnsi="Calibri"/>
                <w:b/>
                <w:sz w:val="18"/>
                <w:szCs w:val="18"/>
              </w:rPr>
              <w:t>Profesorado</w:t>
            </w:r>
          </w:p>
        </w:tc>
        <w:tc>
          <w:tcPr>
            <w:tcW w:w="2429" w:type="dxa"/>
            <w:gridSpan w:val="3"/>
          </w:tcPr>
          <w:p w14:paraId="6E05E395" w14:textId="77777777" w:rsidR="00B80176" w:rsidRPr="00B80176" w:rsidRDefault="00A757A5" w:rsidP="00575843">
            <w:pPr>
              <w:rPr>
                <w:rFonts w:ascii="Calibri" w:hAnsi="Calibri"/>
                <w:sz w:val="18"/>
                <w:szCs w:val="18"/>
              </w:rPr>
            </w:pPr>
            <w:r>
              <w:rPr>
                <w:rFonts w:ascii="Calibri" w:hAnsi="Calibri"/>
                <w:sz w:val="18"/>
                <w:szCs w:val="18"/>
              </w:rPr>
              <w:t>ALEJANDRO ZALVIDE BASSADONE</w:t>
            </w:r>
          </w:p>
        </w:tc>
        <w:tc>
          <w:tcPr>
            <w:tcW w:w="4717" w:type="dxa"/>
            <w:gridSpan w:val="5"/>
          </w:tcPr>
          <w:p w14:paraId="72F8B380" w14:textId="77777777" w:rsidR="00B80176" w:rsidRDefault="00B80176" w:rsidP="00B80176">
            <w:pPr>
              <w:rPr>
                <w:rFonts w:ascii="Calibri" w:hAnsi="Calibri"/>
                <w:sz w:val="18"/>
                <w:szCs w:val="18"/>
              </w:rPr>
            </w:pPr>
            <w:r>
              <w:rPr>
                <w:rFonts w:ascii="Calibri" w:hAnsi="Calibri"/>
                <w:sz w:val="18"/>
                <w:szCs w:val="18"/>
              </w:rPr>
              <w:t>Despacho</w:t>
            </w:r>
            <w:r w:rsidR="0013701F">
              <w:rPr>
                <w:rFonts w:ascii="Calibri" w:hAnsi="Calibri"/>
                <w:sz w:val="18"/>
                <w:szCs w:val="18"/>
              </w:rPr>
              <w:t>: 4.18 (Facultad de Ciencias del Trabajo)</w:t>
            </w:r>
            <w:r>
              <w:rPr>
                <w:rFonts w:ascii="Calibri" w:hAnsi="Calibri"/>
                <w:sz w:val="18"/>
                <w:szCs w:val="18"/>
              </w:rPr>
              <w:t xml:space="preserve"> </w:t>
            </w:r>
          </w:p>
          <w:p w14:paraId="4A0B36C0" w14:textId="77777777" w:rsidR="00B80176" w:rsidRDefault="00B80176" w:rsidP="00B80176">
            <w:pPr>
              <w:rPr>
                <w:rFonts w:ascii="Calibri" w:hAnsi="Calibri"/>
                <w:sz w:val="18"/>
                <w:szCs w:val="18"/>
              </w:rPr>
            </w:pPr>
            <w:r>
              <w:rPr>
                <w:rFonts w:ascii="Calibri" w:hAnsi="Calibri"/>
                <w:sz w:val="18"/>
                <w:szCs w:val="18"/>
              </w:rPr>
              <w:t xml:space="preserve">Correo electrónico: </w:t>
            </w:r>
            <w:r w:rsidR="0013701F">
              <w:rPr>
                <w:rFonts w:ascii="Calibri" w:hAnsi="Calibri"/>
                <w:sz w:val="18"/>
                <w:szCs w:val="18"/>
              </w:rPr>
              <w:t>alejandro.zalvide@dam.uhu.es</w:t>
            </w:r>
          </w:p>
          <w:p w14:paraId="2B404A54" w14:textId="77777777" w:rsidR="00B80176" w:rsidRDefault="00B80176" w:rsidP="00B80176">
            <w:pPr>
              <w:rPr>
                <w:rFonts w:ascii="Calibri" w:hAnsi="Calibri"/>
                <w:sz w:val="18"/>
                <w:szCs w:val="18"/>
              </w:rPr>
            </w:pPr>
            <w:r>
              <w:rPr>
                <w:rFonts w:ascii="Calibri" w:hAnsi="Calibri"/>
                <w:sz w:val="18"/>
                <w:szCs w:val="18"/>
              </w:rPr>
              <w:t xml:space="preserve">Horario de tutorías: </w:t>
            </w:r>
            <w:r w:rsidR="00191609">
              <w:rPr>
                <w:rFonts w:ascii="Calibri" w:hAnsi="Calibri"/>
                <w:sz w:val="18"/>
                <w:szCs w:val="18"/>
              </w:rPr>
              <w:t>lunes y martes de 12 a 14 h.</w:t>
            </w:r>
          </w:p>
        </w:tc>
      </w:tr>
      <w:tr w:rsidR="00CB412E" w:rsidRPr="00456E50" w14:paraId="265E5640" w14:textId="77777777" w:rsidTr="003444E3">
        <w:tc>
          <w:tcPr>
            <w:tcW w:w="8418" w:type="dxa"/>
            <w:gridSpan w:val="9"/>
          </w:tcPr>
          <w:p w14:paraId="5A28B4D8" w14:textId="77777777" w:rsidR="00CB412E" w:rsidRPr="00456E50" w:rsidRDefault="00CB412E" w:rsidP="00575843">
            <w:pPr>
              <w:rPr>
                <w:rFonts w:ascii="Calibri" w:hAnsi="Calibri"/>
                <w:b/>
                <w:sz w:val="18"/>
                <w:szCs w:val="18"/>
              </w:rPr>
            </w:pPr>
            <w:r w:rsidRPr="00456E50">
              <w:rPr>
                <w:rFonts w:ascii="Calibri" w:hAnsi="Calibri"/>
                <w:b/>
                <w:sz w:val="18"/>
                <w:szCs w:val="18"/>
              </w:rPr>
              <w:t>Resultados de aprendizaje.</w:t>
            </w:r>
          </w:p>
          <w:p w14:paraId="66AEAA05" w14:textId="77777777" w:rsidR="00CB412E" w:rsidRPr="00456E50" w:rsidRDefault="00575843" w:rsidP="00575843">
            <w:pPr>
              <w:rPr>
                <w:rFonts w:ascii="Calibri" w:hAnsi="Calibri"/>
                <w:sz w:val="18"/>
                <w:szCs w:val="18"/>
              </w:rPr>
            </w:pPr>
            <w:r>
              <w:rPr>
                <w:rFonts w:ascii="Calibri" w:hAnsi="Calibri"/>
                <w:sz w:val="18"/>
                <w:szCs w:val="18"/>
              </w:rPr>
              <w:t>Se pretende un conocimiento profundo de las instituciones fundamentales del Derecho del Trabajo</w:t>
            </w:r>
            <w:r w:rsidR="0065384B">
              <w:rPr>
                <w:rFonts w:ascii="Calibri" w:hAnsi="Calibri"/>
                <w:sz w:val="18"/>
                <w:szCs w:val="18"/>
              </w:rPr>
              <w:t>, reforzando los conocimientos adquiridos durante los estudios de Grado</w:t>
            </w:r>
            <w:r>
              <w:rPr>
                <w:rFonts w:ascii="Calibri" w:hAnsi="Calibri"/>
                <w:sz w:val="18"/>
                <w:szCs w:val="18"/>
              </w:rPr>
              <w:t>.</w:t>
            </w:r>
            <w:r w:rsidR="00C66D54">
              <w:rPr>
                <w:rFonts w:ascii="Calibri" w:hAnsi="Calibri"/>
                <w:sz w:val="18"/>
                <w:szCs w:val="18"/>
              </w:rPr>
              <w:t xml:space="preserve"> </w:t>
            </w:r>
            <w:r>
              <w:rPr>
                <w:rFonts w:ascii="Calibri" w:hAnsi="Calibri"/>
                <w:sz w:val="18"/>
                <w:szCs w:val="18"/>
              </w:rPr>
              <w:t xml:space="preserve"> En esta asignatura de carácter optativa se introducirá al alumnado en el manejo de las fuentes y el conocimiento de las instituciones del Derecho del Trabajo más importantes en el ámbito empresarial.</w:t>
            </w:r>
            <w:r w:rsidR="00C66D54">
              <w:rPr>
                <w:rFonts w:ascii="Calibri" w:hAnsi="Calibri"/>
                <w:sz w:val="18"/>
                <w:szCs w:val="18"/>
              </w:rPr>
              <w:t xml:space="preserve"> </w:t>
            </w:r>
          </w:p>
          <w:p w14:paraId="55BD5CB4" w14:textId="77777777" w:rsidR="00CB412E" w:rsidRPr="00456E50" w:rsidRDefault="00CB412E" w:rsidP="00575843">
            <w:pPr>
              <w:rPr>
                <w:rFonts w:ascii="Calibri" w:hAnsi="Calibri"/>
                <w:sz w:val="18"/>
                <w:szCs w:val="18"/>
              </w:rPr>
            </w:pPr>
          </w:p>
          <w:p w14:paraId="5C9A4BE4" w14:textId="77777777" w:rsidR="00CB412E" w:rsidRPr="00456E50" w:rsidRDefault="00CB412E" w:rsidP="00575843">
            <w:pPr>
              <w:rPr>
                <w:rFonts w:ascii="Calibri" w:hAnsi="Calibri"/>
                <w:sz w:val="18"/>
                <w:szCs w:val="18"/>
              </w:rPr>
            </w:pPr>
          </w:p>
        </w:tc>
      </w:tr>
      <w:tr w:rsidR="00CB412E" w:rsidRPr="00456E50" w14:paraId="1F33FDD1" w14:textId="77777777" w:rsidTr="003444E3">
        <w:tc>
          <w:tcPr>
            <w:tcW w:w="8418" w:type="dxa"/>
            <w:gridSpan w:val="9"/>
          </w:tcPr>
          <w:p w14:paraId="0C1FA8B9" w14:textId="77777777" w:rsidR="00CB412E" w:rsidRPr="00456E50" w:rsidRDefault="00CB412E" w:rsidP="00575843">
            <w:pPr>
              <w:rPr>
                <w:rFonts w:ascii="Calibri" w:hAnsi="Calibri"/>
                <w:b/>
                <w:sz w:val="18"/>
                <w:szCs w:val="18"/>
              </w:rPr>
            </w:pPr>
            <w:r w:rsidRPr="00456E50">
              <w:rPr>
                <w:rFonts w:ascii="Calibri" w:hAnsi="Calibri"/>
                <w:b/>
                <w:sz w:val="18"/>
                <w:szCs w:val="18"/>
              </w:rPr>
              <w:t>Contenidos.</w:t>
            </w:r>
          </w:p>
          <w:p w14:paraId="35988205" w14:textId="77777777" w:rsidR="00CB412E" w:rsidRPr="00456E50" w:rsidRDefault="00575843" w:rsidP="00575843">
            <w:pPr>
              <w:rPr>
                <w:rFonts w:ascii="Calibri" w:hAnsi="Calibri"/>
                <w:sz w:val="18"/>
                <w:szCs w:val="18"/>
              </w:rPr>
            </w:pPr>
            <w:r>
              <w:rPr>
                <w:rFonts w:ascii="Calibri" w:hAnsi="Calibri"/>
                <w:sz w:val="18"/>
                <w:szCs w:val="18"/>
              </w:rPr>
              <w:t xml:space="preserve">Concepto de Derecho del Trabajo. Formación histórica. Fuentes del Derecho del Trabajo, en especial las fuentes de origen profesional. Fuentes de la relación laboral. Autonomía colectiva en la empresa: vías de representación de los trabajadores en la empresa y órganos de representación. </w:t>
            </w:r>
          </w:p>
          <w:p w14:paraId="36C0D83A" w14:textId="77777777" w:rsidR="00CB412E" w:rsidRPr="00456E50" w:rsidRDefault="00CB412E" w:rsidP="00575843">
            <w:pPr>
              <w:rPr>
                <w:rFonts w:ascii="Calibri" w:hAnsi="Calibri"/>
                <w:sz w:val="18"/>
                <w:szCs w:val="18"/>
              </w:rPr>
            </w:pPr>
          </w:p>
        </w:tc>
      </w:tr>
      <w:tr w:rsidR="00CB412E" w:rsidRPr="00456E50" w14:paraId="063D045E" w14:textId="77777777" w:rsidTr="003444E3">
        <w:tc>
          <w:tcPr>
            <w:tcW w:w="8418" w:type="dxa"/>
            <w:gridSpan w:val="9"/>
          </w:tcPr>
          <w:p w14:paraId="289CFF1D" w14:textId="77777777" w:rsidR="00CB412E" w:rsidRDefault="00CB412E" w:rsidP="00575843">
            <w:pPr>
              <w:rPr>
                <w:rFonts w:ascii="Calibri" w:hAnsi="Calibri"/>
                <w:b/>
                <w:sz w:val="18"/>
                <w:szCs w:val="18"/>
              </w:rPr>
            </w:pPr>
            <w:r w:rsidRPr="00456E50">
              <w:rPr>
                <w:rFonts w:ascii="Calibri" w:hAnsi="Calibri"/>
                <w:b/>
                <w:sz w:val="18"/>
                <w:szCs w:val="18"/>
              </w:rPr>
              <w:t>Competencias</w:t>
            </w:r>
          </w:p>
          <w:p w14:paraId="29F3BA40" w14:textId="77777777" w:rsidR="0065384B" w:rsidRPr="00456E50" w:rsidRDefault="0065384B" w:rsidP="00575843">
            <w:pPr>
              <w:rPr>
                <w:rFonts w:ascii="Calibri" w:hAnsi="Calibri"/>
                <w:b/>
                <w:sz w:val="18"/>
                <w:szCs w:val="18"/>
              </w:rPr>
            </w:pPr>
          </w:p>
        </w:tc>
      </w:tr>
      <w:tr w:rsidR="0065384B" w:rsidRPr="00456E50" w14:paraId="7C3D2843" w14:textId="77777777" w:rsidTr="003444E3">
        <w:tc>
          <w:tcPr>
            <w:tcW w:w="1838" w:type="dxa"/>
            <w:gridSpan w:val="2"/>
          </w:tcPr>
          <w:p w14:paraId="6DDD38D4" w14:textId="77777777" w:rsidR="0065384B" w:rsidRPr="00B80176" w:rsidRDefault="0065384B" w:rsidP="00CB412E">
            <w:pPr>
              <w:numPr>
                <w:ilvl w:val="0"/>
                <w:numId w:val="1"/>
              </w:numPr>
              <w:tabs>
                <w:tab w:val="clear" w:pos="360"/>
              </w:tabs>
              <w:ind w:left="171" w:hanging="171"/>
              <w:rPr>
                <w:rFonts w:ascii="Calibri" w:hAnsi="Calibri"/>
                <w:b/>
                <w:sz w:val="18"/>
                <w:szCs w:val="18"/>
              </w:rPr>
            </w:pPr>
            <w:r w:rsidRPr="00B80176">
              <w:rPr>
                <w:rFonts w:ascii="Calibri" w:hAnsi="Calibri"/>
                <w:b/>
                <w:sz w:val="18"/>
                <w:szCs w:val="18"/>
              </w:rPr>
              <w:t>Básicas y generales</w:t>
            </w:r>
          </w:p>
        </w:tc>
        <w:tc>
          <w:tcPr>
            <w:tcW w:w="6580" w:type="dxa"/>
            <w:gridSpan w:val="7"/>
          </w:tcPr>
          <w:p w14:paraId="5AD9FD13" w14:textId="77777777" w:rsidR="0065384B" w:rsidRPr="00B80176" w:rsidRDefault="0065384B" w:rsidP="0065384B">
            <w:pPr>
              <w:pStyle w:val="Prrafodelista"/>
              <w:numPr>
                <w:ilvl w:val="0"/>
                <w:numId w:val="2"/>
              </w:numPr>
              <w:jc w:val="both"/>
              <w:rPr>
                <w:rFonts w:ascii="Calibri" w:hAnsi="Calibri"/>
                <w:sz w:val="20"/>
                <w:szCs w:val="20"/>
              </w:rPr>
            </w:pPr>
            <w:r w:rsidRPr="00B80176">
              <w:rPr>
                <w:rFonts w:ascii="Calibri" w:hAnsi="Calibri"/>
                <w:sz w:val="20"/>
                <w:szCs w:val="20"/>
              </w:rPr>
              <w:t>Capacidad para aplicar los conocimientos adquiridos y su capacidad de resolución de problemas en entornos nuevos o poco conocidos dentro de contextos más amplios o multidisciplinares relacionados con el ámbito del Derecho del Trabajo aplicado a la empresa.</w:t>
            </w:r>
          </w:p>
          <w:p w14:paraId="77CE96A5" w14:textId="77777777" w:rsidR="0065384B" w:rsidRPr="00B80176" w:rsidRDefault="0065384B" w:rsidP="0065384B">
            <w:pPr>
              <w:pStyle w:val="Prrafodelista"/>
              <w:numPr>
                <w:ilvl w:val="0"/>
                <w:numId w:val="2"/>
              </w:numPr>
              <w:jc w:val="both"/>
              <w:rPr>
                <w:rFonts w:ascii="Calibri" w:hAnsi="Calibri" w:cs="Arial"/>
                <w:i/>
                <w:sz w:val="20"/>
                <w:szCs w:val="20"/>
              </w:rPr>
            </w:pPr>
            <w:r w:rsidRPr="00B80176">
              <w:rPr>
                <w:rFonts w:ascii="Calibri" w:hAnsi="Calibri"/>
                <w:sz w:val="20"/>
                <w:szCs w:val="20"/>
              </w:rPr>
              <w:t>Capacidad para integrar conocimientos y enfrentarse a la complejidad de formular juicios de carácter jurídico en el ámbito del Derecho del Trabajo.</w:t>
            </w:r>
          </w:p>
          <w:p w14:paraId="4B76227D" w14:textId="77777777" w:rsidR="0065384B" w:rsidRPr="00B80176" w:rsidRDefault="0065384B" w:rsidP="0065384B">
            <w:pPr>
              <w:pStyle w:val="Prrafodelista"/>
              <w:numPr>
                <w:ilvl w:val="0"/>
                <w:numId w:val="2"/>
              </w:numPr>
              <w:jc w:val="both"/>
              <w:rPr>
                <w:rFonts w:ascii="Calibri" w:hAnsi="Calibri" w:cs="Arial"/>
                <w:i/>
                <w:sz w:val="20"/>
                <w:szCs w:val="20"/>
              </w:rPr>
            </w:pPr>
            <w:r w:rsidRPr="00B80176">
              <w:rPr>
                <w:rFonts w:ascii="Calibri" w:hAnsi="Calibri"/>
                <w:sz w:val="20"/>
                <w:szCs w:val="20"/>
              </w:rPr>
              <w:t>Capacidad de comunicar conclusiones y conocimientos en el ámbito del derecho de la empresa.</w:t>
            </w:r>
          </w:p>
          <w:p w14:paraId="0E15FAA4" w14:textId="77777777" w:rsidR="0065384B" w:rsidRPr="00B80176" w:rsidRDefault="003444E3" w:rsidP="003444E3">
            <w:pPr>
              <w:pStyle w:val="Prrafodelista"/>
              <w:numPr>
                <w:ilvl w:val="0"/>
                <w:numId w:val="2"/>
              </w:numPr>
              <w:jc w:val="both"/>
              <w:rPr>
                <w:rFonts w:ascii="Calibri" w:hAnsi="Calibri" w:cs="Arial"/>
                <w:i/>
                <w:sz w:val="20"/>
                <w:szCs w:val="20"/>
              </w:rPr>
            </w:pPr>
            <w:r w:rsidRPr="00B80176">
              <w:rPr>
                <w:rFonts w:ascii="Calibri" w:hAnsi="Calibri"/>
                <w:sz w:val="20"/>
                <w:szCs w:val="20"/>
              </w:rPr>
              <w:t>Obtener los recursos y habilidades necesarios para continuar la formación a lo largo de toda la vida.</w:t>
            </w:r>
          </w:p>
        </w:tc>
      </w:tr>
      <w:tr w:rsidR="0065384B" w:rsidRPr="00456E50" w14:paraId="5BE98950" w14:textId="77777777" w:rsidTr="003444E3">
        <w:tc>
          <w:tcPr>
            <w:tcW w:w="1838" w:type="dxa"/>
            <w:gridSpan w:val="2"/>
          </w:tcPr>
          <w:p w14:paraId="513E8581" w14:textId="77777777" w:rsidR="0065384B" w:rsidRPr="00B80176" w:rsidRDefault="0065384B" w:rsidP="00CB412E">
            <w:pPr>
              <w:numPr>
                <w:ilvl w:val="0"/>
                <w:numId w:val="1"/>
              </w:numPr>
              <w:tabs>
                <w:tab w:val="clear" w:pos="360"/>
              </w:tabs>
              <w:ind w:left="171" w:hanging="171"/>
              <w:rPr>
                <w:rFonts w:ascii="Calibri" w:hAnsi="Calibri"/>
                <w:b/>
                <w:sz w:val="18"/>
                <w:szCs w:val="18"/>
              </w:rPr>
            </w:pPr>
            <w:r w:rsidRPr="00B80176">
              <w:rPr>
                <w:rFonts w:ascii="Calibri" w:hAnsi="Calibri"/>
                <w:b/>
                <w:sz w:val="18"/>
                <w:szCs w:val="18"/>
              </w:rPr>
              <w:t>Transversales</w:t>
            </w:r>
          </w:p>
        </w:tc>
        <w:tc>
          <w:tcPr>
            <w:tcW w:w="6580" w:type="dxa"/>
            <w:gridSpan w:val="7"/>
          </w:tcPr>
          <w:p w14:paraId="669486BE" w14:textId="77777777" w:rsidR="0065384B" w:rsidRPr="00B80176" w:rsidRDefault="003444E3" w:rsidP="003444E3">
            <w:pPr>
              <w:pStyle w:val="Prrafodelista"/>
              <w:numPr>
                <w:ilvl w:val="0"/>
                <w:numId w:val="3"/>
              </w:numPr>
              <w:jc w:val="both"/>
              <w:rPr>
                <w:rFonts w:ascii="Calibri" w:hAnsi="Calibri" w:cs="Arial"/>
                <w:sz w:val="20"/>
                <w:szCs w:val="20"/>
              </w:rPr>
            </w:pPr>
            <w:r w:rsidRPr="00B80176">
              <w:rPr>
                <w:rFonts w:ascii="Calibri" w:hAnsi="Calibri" w:cs="Arial"/>
                <w:sz w:val="20"/>
                <w:szCs w:val="20"/>
              </w:rPr>
              <w:t>Capacidad de análisis y síntesis.</w:t>
            </w:r>
          </w:p>
          <w:p w14:paraId="6B0221E7" w14:textId="77777777" w:rsidR="003444E3" w:rsidRPr="00B80176" w:rsidRDefault="003444E3" w:rsidP="003444E3">
            <w:pPr>
              <w:pStyle w:val="Prrafodelista"/>
              <w:numPr>
                <w:ilvl w:val="0"/>
                <w:numId w:val="3"/>
              </w:numPr>
              <w:jc w:val="both"/>
              <w:rPr>
                <w:rFonts w:ascii="Calibri" w:hAnsi="Calibri" w:cs="Arial"/>
                <w:sz w:val="20"/>
                <w:szCs w:val="20"/>
              </w:rPr>
            </w:pPr>
            <w:r w:rsidRPr="00B80176">
              <w:rPr>
                <w:rFonts w:ascii="Calibri" w:hAnsi="Calibri" w:cs="Arial"/>
                <w:sz w:val="20"/>
                <w:szCs w:val="20"/>
              </w:rPr>
              <w:t xml:space="preserve">Uso de las </w:t>
            </w:r>
            <w:proofErr w:type="spellStart"/>
            <w:r w:rsidRPr="00B80176">
              <w:rPr>
                <w:rFonts w:ascii="Calibri" w:hAnsi="Calibri" w:cs="Arial"/>
                <w:sz w:val="20"/>
                <w:szCs w:val="20"/>
              </w:rPr>
              <w:t>TICs</w:t>
            </w:r>
            <w:proofErr w:type="spellEnd"/>
            <w:r w:rsidRPr="00B80176">
              <w:rPr>
                <w:rFonts w:ascii="Calibri" w:hAnsi="Calibri" w:cs="Arial"/>
                <w:sz w:val="20"/>
                <w:szCs w:val="20"/>
              </w:rPr>
              <w:t xml:space="preserve"> en el ámbito del Derecho y la empresa.</w:t>
            </w:r>
          </w:p>
          <w:p w14:paraId="4BDB96ED" w14:textId="77777777" w:rsidR="003444E3" w:rsidRPr="00B80176" w:rsidRDefault="003444E3" w:rsidP="003444E3">
            <w:pPr>
              <w:pStyle w:val="Prrafodelista"/>
              <w:numPr>
                <w:ilvl w:val="0"/>
                <w:numId w:val="3"/>
              </w:numPr>
              <w:jc w:val="both"/>
              <w:rPr>
                <w:rFonts w:ascii="Calibri" w:hAnsi="Calibri" w:cs="Arial"/>
                <w:sz w:val="20"/>
                <w:szCs w:val="20"/>
              </w:rPr>
            </w:pPr>
            <w:r w:rsidRPr="00B80176">
              <w:rPr>
                <w:rFonts w:ascii="Calibri" w:hAnsi="Calibri" w:cs="Arial"/>
                <w:sz w:val="20"/>
                <w:szCs w:val="20"/>
              </w:rPr>
              <w:t>Habilidad de selección y organización de datos adquiridos de forma fragmentada para su posterior procesamiento e integración en un discurso jurídico.</w:t>
            </w:r>
          </w:p>
          <w:p w14:paraId="4239CD40" w14:textId="77777777" w:rsidR="003444E3" w:rsidRPr="00B80176" w:rsidRDefault="003444E3" w:rsidP="003444E3">
            <w:pPr>
              <w:pStyle w:val="Prrafodelista"/>
              <w:numPr>
                <w:ilvl w:val="0"/>
                <w:numId w:val="3"/>
              </w:numPr>
              <w:jc w:val="both"/>
              <w:rPr>
                <w:rFonts w:ascii="Calibri" w:hAnsi="Calibri" w:cs="Arial"/>
                <w:sz w:val="20"/>
                <w:szCs w:val="20"/>
              </w:rPr>
            </w:pPr>
            <w:r w:rsidRPr="00B80176">
              <w:rPr>
                <w:rFonts w:ascii="Calibri" w:hAnsi="Calibri" w:cs="Arial"/>
                <w:sz w:val="20"/>
                <w:szCs w:val="20"/>
              </w:rPr>
              <w:t>Capacidad de expresión oral y escrita y de construcción coherente del discurso.</w:t>
            </w:r>
          </w:p>
          <w:p w14:paraId="3E83F135" w14:textId="77777777" w:rsidR="003444E3" w:rsidRPr="00B80176" w:rsidRDefault="003444E3" w:rsidP="003444E3">
            <w:pPr>
              <w:pStyle w:val="Prrafodelista"/>
              <w:numPr>
                <w:ilvl w:val="0"/>
                <w:numId w:val="3"/>
              </w:numPr>
              <w:jc w:val="both"/>
              <w:rPr>
                <w:rFonts w:ascii="Calibri" w:hAnsi="Calibri" w:cs="Arial"/>
                <w:sz w:val="20"/>
                <w:szCs w:val="20"/>
              </w:rPr>
            </w:pPr>
            <w:r w:rsidRPr="00B80176">
              <w:rPr>
                <w:rFonts w:ascii="Calibri" w:hAnsi="Calibri" w:cs="Arial"/>
                <w:sz w:val="20"/>
                <w:szCs w:val="20"/>
              </w:rPr>
              <w:t>Capacidad de argumentación  y resolución de situación conflictivas o problemáticas con decisión y criterios claros.</w:t>
            </w:r>
          </w:p>
          <w:p w14:paraId="66C959BD" w14:textId="77777777" w:rsidR="003444E3" w:rsidRPr="00B80176" w:rsidRDefault="003444E3" w:rsidP="003444E3">
            <w:pPr>
              <w:pStyle w:val="Prrafodelista"/>
              <w:numPr>
                <w:ilvl w:val="0"/>
                <w:numId w:val="3"/>
              </w:numPr>
              <w:jc w:val="both"/>
              <w:rPr>
                <w:rFonts w:ascii="Calibri" w:hAnsi="Calibri" w:cs="Arial"/>
                <w:sz w:val="20"/>
                <w:szCs w:val="20"/>
              </w:rPr>
            </w:pPr>
            <w:r w:rsidRPr="00B80176">
              <w:rPr>
                <w:rFonts w:ascii="Calibri" w:hAnsi="Calibri" w:cs="Arial"/>
                <w:sz w:val="20"/>
                <w:szCs w:val="20"/>
              </w:rPr>
              <w:t>Habilidad para resolver problemas jurídicos a partir del análisis de casos reales.</w:t>
            </w:r>
          </w:p>
          <w:p w14:paraId="55849F8B" w14:textId="77777777" w:rsidR="003444E3" w:rsidRPr="00B80176" w:rsidRDefault="003444E3" w:rsidP="0065384B">
            <w:pPr>
              <w:jc w:val="both"/>
              <w:rPr>
                <w:rFonts w:ascii="Calibri" w:hAnsi="Calibri" w:cs="Arial"/>
                <w:i/>
                <w:sz w:val="20"/>
                <w:szCs w:val="20"/>
              </w:rPr>
            </w:pPr>
          </w:p>
        </w:tc>
      </w:tr>
      <w:tr w:rsidR="0065384B" w:rsidRPr="00456E50" w14:paraId="7880DAD0" w14:textId="77777777" w:rsidTr="003444E3">
        <w:tc>
          <w:tcPr>
            <w:tcW w:w="1838" w:type="dxa"/>
            <w:gridSpan w:val="2"/>
          </w:tcPr>
          <w:p w14:paraId="29459888" w14:textId="77777777" w:rsidR="0065384B" w:rsidRPr="00456E50" w:rsidRDefault="0065384B" w:rsidP="00CB412E">
            <w:pPr>
              <w:numPr>
                <w:ilvl w:val="0"/>
                <w:numId w:val="1"/>
              </w:numPr>
              <w:tabs>
                <w:tab w:val="clear" w:pos="360"/>
              </w:tabs>
              <w:ind w:left="171" w:hanging="171"/>
              <w:rPr>
                <w:rFonts w:ascii="Calibri" w:hAnsi="Calibri"/>
                <w:b/>
                <w:sz w:val="18"/>
                <w:szCs w:val="18"/>
              </w:rPr>
            </w:pPr>
            <w:r w:rsidRPr="00456E50">
              <w:rPr>
                <w:rFonts w:ascii="Calibri" w:hAnsi="Calibri"/>
                <w:b/>
                <w:sz w:val="18"/>
                <w:szCs w:val="18"/>
              </w:rPr>
              <w:t>Específicas</w:t>
            </w:r>
          </w:p>
        </w:tc>
        <w:tc>
          <w:tcPr>
            <w:tcW w:w="6580" w:type="dxa"/>
            <w:gridSpan w:val="7"/>
          </w:tcPr>
          <w:p w14:paraId="6DF96468" w14:textId="77777777" w:rsidR="0065384B" w:rsidRDefault="003444E3" w:rsidP="003444E3">
            <w:pPr>
              <w:pStyle w:val="Prrafodelista"/>
              <w:numPr>
                <w:ilvl w:val="0"/>
                <w:numId w:val="5"/>
              </w:numPr>
              <w:jc w:val="both"/>
              <w:rPr>
                <w:rFonts w:ascii="Calibri" w:hAnsi="Calibri" w:cs="Arial"/>
                <w:sz w:val="20"/>
                <w:szCs w:val="20"/>
              </w:rPr>
            </w:pPr>
            <w:r>
              <w:rPr>
                <w:rFonts w:ascii="Calibri" w:hAnsi="Calibri" w:cs="Arial"/>
                <w:sz w:val="20"/>
                <w:szCs w:val="20"/>
              </w:rPr>
              <w:t>Capacitación para la obtención, gestión e interpretación de las normas jurídicas y de la jurisprudencia social relacionada con la materia</w:t>
            </w:r>
          </w:p>
          <w:p w14:paraId="138DE32B" w14:textId="77777777" w:rsidR="003444E3" w:rsidRDefault="003444E3" w:rsidP="003444E3">
            <w:pPr>
              <w:pStyle w:val="Prrafodelista"/>
              <w:numPr>
                <w:ilvl w:val="0"/>
                <w:numId w:val="5"/>
              </w:numPr>
              <w:jc w:val="both"/>
              <w:rPr>
                <w:rFonts w:ascii="Calibri" w:hAnsi="Calibri" w:cs="Arial"/>
                <w:sz w:val="20"/>
                <w:szCs w:val="20"/>
              </w:rPr>
            </w:pPr>
            <w:r>
              <w:rPr>
                <w:rFonts w:ascii="Calibri" w:hAnsi="Calibri" w:cs="Arial"/>
                <w:sz w:val="20"/>
                <w:szCs w:val="20"/>
              </w:rPr>
              <w:t>Capacitación para la resolución de casos prácticos relacionados con la materia.</w:t>
            </w:r>
          </w:p>
          <w:p w14:paraId="4550A5FD" w14:textId="77777777" w:rsidR="003444E3" w:rsidRDefault="003444E3" w:rsidP="003444E3">
            <w:pPr>
              <w:pStyle w:val="Prrafodelista"/>
              <w:numPr>
                <w:ilvl w:val="0"/>
                <w:numId w:val="5"/>
              </w:numPr>
              <w:jc w:val="both"/>
              <w:rPr>
                <w:rFonts w:ascii="Calibri" w:hAnsi="Calibri" w:cs="Arial"/>
                <w:sz w:val="20"/>
                <w:szCs w:val="20"/>
              </w:rPr>
            </w:pPr>
            <w:r>
              <w:rPr>
                <w:rFonts w:ascii="Calibri" w:hAnsi="Calibri" w:cs="Arial"/>
                <w:sz w:val="20"/>
                <w:szCs w:val="20"/>
              </w:rPr>
              <w:t>Capacitación para el análisis</w:t>
            </w:r>
            <w:r w:rsidR="005D6C35">
              <w:rPr>
                <w:rFonts w:ascii="Calibri" w:hAnsi="Calibri" w:cs="Arial"/>
                <w:sz w:val="20"/>
                <w:szCs w:val="20"/>
              </w:rPr>
              <w:t xml:space="preserve"> crítico de las instituciones fundamentales del derecho del trabajo.</w:t>
            </w:r>
          </w:p>
          <w:p w14:paraId="41FCABAF" w14:textId="77777777" w:rsidR="005D6C35" w:rsidRDefault="005D6C35" w:rsidP="003444E3">
            <w:pPr>
              <w:pStyle w:val="Prrafodelista"/>
              <w:numPr>
                <w:ilvl w:val="0"/>
                <w:numId w:val="5"/>
              </w:numPr>
              <w:jc w:val="both"/>
              <w:rPr>
                <w:rFonts w:ascii="Calibri" w:hAnsi="Calibri" w:cs="Arial"/>
                <w:sz w:val="20"/>
                <w:szCs w:val="20"/>
              </w:rPr>
            </w:pPr>
            <w:r>
              <w:rPr>
                <w:rFonts w:ascii="Calibri" w:hAnsi="Calibri" w:cs="Arial"/>
                <w:sz w:val="20"/>
                <w:szCs w:val="20"/>
              </w:rPr>
              <w:t>Conocimiento de los elementos fundamentales que configuran el concepto de Derecho del Trabajo y sus fuentes.</w:t>
            </w:r>
          </w:p>
          <w:p w14:paraId="15532B13" w14:textId="77777777" w:rsidR="005D6C35" w:rsidRDefault="005D6C35" w:rsidP="003444E3">
            <w:pPr>
              <w:pStyle w:val="Prrafodelista"/>
              <w:numPr>
                <w:ilvl w:val="0"/>
                <w:numId w:val="5"/>
              </w:numPr>
              <w:jc w:val="both"/>
              <w:rPr>
                <w:rFonts w:ascii="Calibri" w:hAnsi="Calibri" w:cs="Arial"/>
                <w:sz w:val="20"/>
                <w:szCs w:val="20"/>
              </w:rPr>
            </w:pPr>
            <w:r>
              <w:rPr>
                <w:rFonts w:ascii="Calibri" w:hAnsi="Calibri" w:cs="Arial"/>
                <w:sz w:val="20"/>
                <w:szCs w:val="20"/>
              </w:rPr>
              <w:t>Conocimiento profundo del significado de la autonomía colectiva en el ámbito del Derecho del Trabajo.</w:t>
            </w:r>
          </w:p>
          <w:p w14:paraId="32A82ADB" w14:textId="77777777" w:rsidR="005D6C35" w:rsidRPr="003444E3" w:rsidRDefault="005D6C35" w:rsidP="003444E3">
            <w:pPr>
              <w:pStyle w:val="Prrafodelista"/>
              <w:numPr>
                <w:ilvl w:val="0"/>
                <w:numId w:val="5"/>
              </w:numPr>
              <w:jc w:val="both"/>
              <w:rPr>
                <w:rFonts w:ascii="Calibri" w:hAnsi="Calibri" w:cs="Arial"/>
                <w:sz w:val="20"/>
                <w:szCs w:val="20"/>
              </w:rPr>
            </w:pPr>
            <w:r>
              <w:rPr>
                <w:rFonts w:ascii="Calibri" w:hAnsi="Calibri" w:cs="Arial"/>
                <w:sz w:val="20"/>
                <w:szCs w:val="20"/>
              </w:rPr>
              <w:t>Capacitación para la resolución de los problemas que plantea la representación de los trabajadores en la empresa.</w:t>
            </w:r>
          </w:p>
        </w:tc>
      </w:tr>
      <w:tr w:rsidR="003444E3" w:rsidRPr="00456E50" w14:paraId="435FCC36" w14:textId="77777777" w:rsidTr="003444E3">
        <w:tc>
          <w:tcPr>
            <w:tcW w:w="8418" w:type="dxa"/>
            <w:gridSpan w:val="9"/>
          </w:tcPr>
          <w:p w14:paraId="025753CE" w14:textId="77777777" w:rsidR="003444E3" w:rsidRPr="00456E50" w:rsidRDefault="003444E3" w:rsidP="00575843">
            <w:pPr>
              <w:rPr>
                <w:rFonts w:ascii="Calibri" w:hAnsi="Calibri"/>
                <w:b/>
                <w:sz w:val="18"/>
                <w:szCs w:val="18"/>
              </w:rPr>
            </w:pPr>
            <w:r w:rsidRPr="00456E50">
              <w:rPr>
                <w:rFonts w:ascii="Calibri" w:hAnsi="Calibri"/>
                <w:b/>
                <w:sz w:val="18"/>
                <w:szCs w:val="18"/>
              </w:rPr>
              <w:lastRenderedPageBreak/>
              <w:t>Actividades formativas</w:t>
            </w:r>
            <w:r>
              <w:rPr>
                <w:rFonts w:ascii="Calibri" w:hAnsi="Calibri"/>
                <w:b/>
                <w:sz w:val="18"/>
                <w:szCs w:val="18"/>
              </w:rPr>
              <w:t xml:space="preserve"> </w:t>
            </w:r>
            <w:r w:rsidRPr="00E5465E">
              <w:rPr>
                <w:rFonts w:ascii="Calibri" w:hAnsi="Calibri"/>
                <w:i/>
                <w:sz w:val="18"/>
                <w:szCs w:val="18"/>
              </w:rPr>
              <w:t>(indicar horas y presencialidad).</w:t>
            </w:r>
          </w:p>
          <w:p w14:paraId="6B36AB39" w14:textId="77777777" w:rsidR="003444E3" w:rsidRDefault="005D6C35" w:rsidP="00575843">
            <w:pPr>
              <w:rPr>
                <w:rFonts w:ascii="Calibri" w:hAnsi="Calibri"/>
                <w:b/>
                <w:sz w:val="18"/>
                <w:szCs w:val="18"/>
              </w:rPr>
            </w:pPr>
            <w:r>
              <w:rPr>
                <w:rFonts w:ascii="Calibri" w:hAnsi="Calibri"/>
                <w:b/>
                <w:sz w:val="18"/>
                <w:szCs w:val="18"/>
              </w:rPr>
              <w:t>Horas de Clases presenciales: 20</w:t>
            </w:r>
          </w:p>
          <w:p w14:paraId="2B539C0D" w14:textId="77777777" w:rsidR="005D6C35" w:rsidRPr="00456E50" w:rsidRDefault="005D6C35" w:rsidP="00575843">
            <w:pPr>
              <w:rPr>
                <w:rFonts w:ascii="Calibri" w:hAnsi="Calibri"/>
                <w:b/>
                <w:sz w:val="18"/>
                <w:szCs w:val="18"/>
              </w:rPr>
            </w:pPr>
            <w:r>
              <w:rPr>
                <w:rFonts w:ascii="Calibri" w:hAnsi="Calibri"/>
                <w:b/>
                <w:sz w:val="18"/>
                <w:szCs w:val="18"/>
              </w:rPr>
              <w:t>Horas no presenciales: 10</w:t>
            </w:r>
          </w:p>
          <w:p w14:paraId="41967052" w14:textId="77777777" w:rsidR="003444E3" w:rsidRPr="00456E50" w:rsidRDefault="003444E3" w:rsidP="00575843">
            <w:pPr>
              <w:rPr>
                <w:rFonts w:ascii="Calibri" w:hAnsi="Calibri"/>
                <w:sz w:val="18"/>
                <w:szCs w:val="18"/>
              </w:rPr>
            </w:pPr>
          </w:p>
        </w:tc>
      </w:tr>
      <w:tr w:rsidR="0065384B" w:rsidRPr="00456E50" w14:paraId="48877F6D" w14:textId="77777777" w:rsidTr="003444E3">
        <w:tc>
          <w:tcPr>
            <w:tcW w:w="8418" w:type="dxa"/>
            <w:gridSpan w:val="9"/>
          </w:tcPr>
          <w:p w14:paraId="4D2A05F7" w14:textId="77777777" w:rsidR="0065384B" w:rsidRPr="00B80176" w:rsidRDefault="0065384B" w:rsidP="00575843">
            <w:pPr>
              <w:rPr>
                <w:rFonts w:ascii="Calibri" w:hAnsi="Calibri"/>
                <w:b/>
                <w:sz w:val="18"/>
                <w:szCs w:val="18"/>
              </w:rPr>
            </w:pPr>
            <w:r w:rsidRPr="00B80176">
              <w:rPr>
                <w:rFonts w:ascii="Calibri" w:hAnsi="Calibri"/>
                <w:b/>
                <w:sz w:val="18"/>
                <w:szCs w:val="18"/>
              </w:rPr>
              <w:t>Metodologías docentes</w:t>
            </w:r>
          </w:p>
          <w:p w14:paraId="6033A01B" w14:textId="77777777" w:rsidR="00C66D54" w:rsidRPr="00B80176" w:rsidRDefault="00C66D54" w:rsidP="00575843">
            <w:pPr>
              <w:rPr>
                <w:rFonts w:ascii="Calibri" w:hAnsi="Calibri"/>
                <w:b/>
                <w:sz w:val="18"/>
                <w:szCs w:val="18"/>
              </w:rPr>
            </w:pPr>
            <w:r w:rsidRPr="00B80176">
              <w:rPr>
                <w:rFonts w:ascii="Arial" w:hAnsi="Arial" w:cs="Arial"/>
                <w:b/>
                <w:sz w:val="18"/>
                <w:szCs w:val="18"/>
              </w:rPr>
              <w:t>Exposición-conferencia seguida o no de preguntas y aclaraciones (clase</w:t>
            </w:r>
            <w:r w:rsidRPr="00B80176">
              <w:rPr>
                <w:rFonts w:ascii="Arial" w:hAnsi="Arial" w:cs="Arial"/>
                <w:sz w:val="18"/>
                <w:szCs w:val="18"/>
              </w:rPr>
              <w:t xml:space="preserve"> magistral)</w:t>
            </w:r>
            <w:r w:rsidRPr="00B80176">
              <w:rPr>
                <w:rFonts w:ascii="Arial" w:hAnsi="Arial" w:cs="Arial"/>
                <w:sz w:val="22"/>
                <w:szCs w:val="22"/>
              </w:rPr>
              <w:t>.</w:t>
            </w:r>
          </w:p>
          <w:p w14:paraId="379221AC" w14:textId="77777777" w:rsidR="0065384B" w:rsidRPr="00B80176" w:rsidRDefault="005D6C35" w:rsidP="00575843">
            <w:pPr>
              <w:rPr>
                <w:rFonts w:ascii="Calibri" w:hAnsi="Calibri"/>
                <w:sz w:val="18"/>
                <w:szCs w:val="18"/>
              </w:rPr>
            </w:pPr>
            <w:r w:rsidRPr="00B80176">
              <w:rPr>
                <w:rFonts w:ascii="Calibri" w:hAnsi="Calibri"/>
                <w:sz w:val="18"/>
                <w:szCs w:val="18"/>
              </w:rPr>
              <w:t>Exposición básica mediante el sistema de la clase magistral de los contenidos teóricos fundamentales de cada uno de los apartados del programa. Los alumnos deberán preparar el temario empleando todos los medios a su alcance: manuales, revistas especializadas y legislación.</w:t>
            </w:r>
          </w:p>
          <w:p w14:paraId="7C22929B" w14:textId="77777777" w:rsidR="00C66D54" w:rsidRPr="00B80176" w:rsidRDefault="00C66D54" w:rsidP="00C66D54">
            <w:pPr>
              <w:rPr>
                <w:rFonts w:ascii="Calibri" w:hAnsi="Calibri"/>
                <w:b/>
                <w:sz w:val="18"/>
                <w:szCs w:val="18"/>
              </w:rPr>
            </w:pPr>
            <w:r w:rsidRPr="00B80176">
              <w:rPr>
                <w:rFonts w:ascii="Calibri" w:hAnsi="Calibri"/>
                <w:b/>
                <w:sz w:val="18"/>
                <w:szCs w:val="18"/>
              </w:rPr>
              <w:t>Recensiones de bibliografía,  jurisprudencia u otros documentos</w:t>
            </w:r>
          </w:p>
          <w:p w14:paraId="555F3D51" w14:textId="77777777" w:rsidR="0065384B" w:rsidRPr="00B80176" w:rsidRDefault="005D6C35" w:rsidP="00575843">
            <w:pPr>
              <w:rPr>
                <w:rFonts w:ascii="Calibri" w:hAnsi="Calibri"/>
                <w:sz w:val="18"/>
                <w:szCs w:val="18"/>
              </w:rPr>
            </w:pPr>
            <w:r w:rsidRPr="00B80176">
              <w:rPr>
                <w:rFonts w:ascii="Calibri" w:hAnsi="Calibri"/>
                <w:sz w:val="18"/>
                <w:szCs w:val="18"/>
              </w:rPr>
              <w:t>Se facilitará a los estudiantes una o dos lecturas especializadas que les puedan resultar ilustrativas de la temática a tratar.</w:t>
            </w:r>
          </w:p>
          <w:p w14:paraId="41C033C1" w14:textId="77777777" w:rsidR="00C66D54" w:rsidRPr="00B80176" w:rsidRDefault="00C66D54" w:rsidP="00C66D54">
            <w:pPr>
              <w:rPr>
                <w:rFonts w:ascii="Calibri" w:hAnsi="Calibri"/>
                <w:sz w:val="18"/>
                <w:szCs w:val="18"/>
              </w:rPr>
            </w:pPr>
            <w:r w:rsidRPr="00B80176">
              <w:rPr>
                <w:rFonts w:ascii="Calibri" w:hAnsi="Calibri"/>
                <w:b/>
                <w:sz w:val="18"/>
                <w:szCs w:val="18"/>
              </w:rPr>
              <w:t xml:space="preserve">Reflexión sobre casos particulares reales en un contexto académico (estudio de casos </w:t>
            </w:r>
            <w:r w:rsidRPr="00B80176">
              <w:rPr>
                <w:rFonts w:ascii="Calibri" w:hAnsi="Calibri"/>
                <w:sz w:val="18"/>
                <w:szCs w:val="18"/>
              </w:rPr>
              <w:t>)</w:t>
            </w:r>
          </w:p>
          <w:p w14:paraId="058E391A" w14:textId="77777777" w:rsidR="005D6C35" w:rsidRPr="00B80176" w:rsidRDefault="005D6C35" w:rsidP="00575843">
            <w:pPr>
              <w:rPr>
                <w:rFonts w:ascii="Calibri" w:hAnsi="Calibri"/>
                <w:sz w:val="18"/>
                <w:szCs w:val="18"/>
              </w:rPr>
            </w:pPr>
            <w:r w:rsidRPr="00B80176">
              <w:rPr>
                <w:rFonts w:ascii="Calibri" w:hAnsi="Calibri"/>
                <w:sz w:val="18"/>
                <w:szCs w:val="18"/>
              </w:rPr>
              <w:t>Se realizarán casos prácticos relacionados con el concepto de derecho del trabajo y la delimitación del trabajo por cuenta ajena, así como de la parte relacionada con la representación de los trabajadores en la empresa. Para su resolución se utilizará el conocido como método del caso.</w:t>
            </w:r>
          </w:p>
          <w:p w14:paraId="3C314096" w14:textId="77777777" w:rsidR="0065384B" w:rsidRPr="00B80176" w:rsidRDefault="0065384B" w:rsidP="00575843">
            <w:pPr>
              <w:rPr>
                <w:rFonts w:ascii="Calibri" w:hAnsi="Calibri"/>
                <w:b/>
                <w:sz w:val="18"/>
                <w:szCs w:val="18"/>
              </w:rPr>
            </w:pPr>
          </w:p>
        </w:tc>
      </w:tr>
      <w:tr w:rsidR="0065384B" w:rsidRPr="00456E50" w14:paraId="6A4DF839" w14:textId="77777777" w:rsidTr="003444E3">
        <w:tc>
          <w:tcPr>
            <w:tcW w:w="8418" w:type="dxa"/>
            <w:gridSpan w:val="9"/>
          </w:tcPr>
          <w:p w14:paraId="113056A3" w14:textId="77777777" w:rsidR="0065384B" w:rsidRPr="00B80176" w:rsidRDefault="0065384B" w:rsidP="00575843">
            <w:pPr>
              <w:rPr>
                <w:rFonts w:ascii="Calibri" w:hAnsi="Calibri"/>
                <w:b/>
                <w:sz w:val="18"/>
                <w:szCs w:val="18"/>
              </w:rPr>
            </w:pPr>
            <w:r w:rsidRPr="00B80176">
              <w:rPr>
                <w:rFonts w:ascii="Calibri" w:hAnsi="Calibri"/>
                <w:b/>
                <w:sz w:val="18"/>
                <w:szCs w:val="18"/>
              </w:rPr>
              <w:t>Sistemas de evaluación</w:t>
            </w:r>
          </w:p>
          <w:p w14:paraId="06785D1F" w14:textId="77777777" w:rsidR="0065384B" w:rsidRPr="00B80176" w:rsidRDefault="005D6C35" w:rsidP="00575843">
            <w:pPr>
              <w:rPr>
                <w:rFonts w:ascii="Calibri" w:hAnsi="Calibri"/>
                <w:sz w:val="18"/>
                <w:szCs w:val="18"/>
              </w:rPr>
            </w:pPr>
            <w:r w:rsidRPr="00B80176">
              <w:rPr>
                <w:rFonts w:ascii="Calibri" w:hAnsi="Calibri"/>
                <w:sz w:val="18"/>
                <w:szCs w:val="18"/>
              </w:rPr>
              <w:t>Se adoptará un sistema de evaluación mixto:</w:t>
            </w:r>
          </w:p>
          <w:p w14:paraId="529920B0" w14:textId="77777777" w:rsidR="00C66D54" w:rsidRPr="00B80176" w:rsidRDefault="00C66D54" w:rsidP="00C66D54">
            <w:pPr>
              <w:rPr>
                <w:rFonts w:ascii="Calibri" w:hAnsi="Calibri"/>
                <w:b/>
                <w:sz w:val="18"/>
                <w:szCs w:val="18"/>
              </w:rPr>
            </w:pPr>
            <w:r w:rsidRPr="00B80176">
              <w:rPr>
                <w:rFonts w:ascii="Calibri" w:hAnsi="Calibri"/>
                <w:b/>
                <w:sz w:val="18"/>
                <w:szCs w:val="18"/>
              </w:rPr>
              <w:t>Evaluación del desempeño en simulaciones, trabajo de casos, diálogo u otras actividades desarrolladas en clase</w:t>
            </w:r>
          </w:p>
          <w:p w14:paraId="5787E324" w14:textId="77777777" w:rsidR="005D6C35" w:rsidRPr="00B80176" w:rsidRDefault="005D6C35" w:rsidP="00575843">
            <w:pPr>
              <w:rPr>
                <w:rFonts w:ascii="Calibri" w:hAnsi="Calibri"/>
                <w:sz w:val="18"/>
                <w:szCs w:val="18"/>
              </w:rPr>
            </w:pPr>
            <w:r w:rsidRPr="00B80176">
              <w:rPr>
                <w:rFonts w:ascii="Calibri" w:hAnsi="Calibri"/>
                <w:sz w:val="18"/>
                <w:szCs w:val="18"/>
              </w:rPr>
              <w:t xml:space="preserve">El </w:t>
            </w:r>
            <w:r w:rsidR="00275976">
              <w:rPr>
                <w:rFonts w:ascii="Calibri" w:hAnsi="Calibri"/>
                <w:sz w:val="18"/>
                <w:szCs w:val="18"/>
              </w:rPr>
              <w:t>5</w:t>
            </w:r>
            <w:r w:rsidRPr="00B80176">
              <w:rPr>
                <w:rFonts w:ascii="Calibri" w:hAnsi="Calibri"/>
                <w:sz w:val="18"/>
                <w:szCs w:val="18"/>
              </w:rPr>
              <w:t>0% de la nota atenderá a la asistencia, el interés demostrado en el seguimiento del curso, la calidad de los comentarios y opiniones vertidas en las sesiones de comentario y debates de lecturas recomendadas, y en las de resolución de los casos prácticos planteados.</w:t>
            </w:r>
          </w:p>
          <w:p w14:paraId="1321C8CD" w14:textId="77777777" w:rsidR="00C66D54" w:rsidRPr="00B80176" w:rsidRDefault="00C66D54" w:rsidP="00C66D54">
            <w:pPr>
              <w:rPr>
                <w:rFonts w:ascii="Calibri" w:hAnsi="Calibri"/>
                <w:b/>
                <w:sz w:val="18"/>
                <w:szCs w:val="18"/>
              </w:rPr>
            </w:pPr>
            <w:r w:rsidRPr="00B80176">
              <w:rPr>
                <w:rFonts w:ascii="Calibri" w:hAnsi="Calibri"/>
                <w:b/>
                <w:sz w:val="18"/>
                <w:szCs w:val="18"/>
              </w:rPr>
              <w:t>Pruebas objetivas (tipo test)</w:t>
            </w:r>
          </w:p>
          <w:p w14:paraId="12212975" w14:textId="77777777" w:rsidR="0065384B" w:rsidRDefault="005D6C35" w:rsidP="00B80176">
            <w:pPr>
              <w:rPr>
                <w:rFonts w:ascii="Calibri" w:hAnsi="Calibri"/>
                <w:sz w:val="18"/>
                <w:szCs w:val="18"/>
              </w:rPr>
            </w:pPr>
            <w:r w:rsidRPr="00B80176">
              <w:rPr>
                <w:rFonts w:ascii="Calibri" w:hAnsi="Calibri"/>
                <w:sz w:val="18"/>
                <w:szCs w:val="18"/>
              </w:rPr>
              <w:t xml:space="preserve">El </w:t>
            </w:r>
            <w:r w:rsidR="00275976">
              <w:rPr>
                <w:rFonts w:ascii="Calibri" w:hAnsi="Calibri"/>
                <w:sz w:val="18"/>
                <w:szCs w:val="18"/>
              </w:rPr>
              <w:t>5</w:t>
            </w:r>
            <w:r w:rsidRPr="00B80176">
              <w:rPr>
                <w:rFonts w:ascii="Calibri" w:hAnsi="Calibri"/>
                <w:sz w:val="18"/>
                <w:szCs w:val="18"/>
              </w:rPr>
              <w:t>0% restante atenderá a un examen tipo test que se realizará en la última sesión del módulo.</w:t>
            </w:r>
          </w:p>
          <w:p w14:paraId="1D401DD6" w14:textId="77777777" w:rsidR="00B80176" w:rsidRPr="00275976" w:rsidRDefault="00B80176" w:rsidP="00B80176">
            <w:pPr>
              <w:rPr>
                <w:rFonts w:asciiTheme="majorHAnsi" w:hAnsiTheme="majorHAnsi" w:cstheme="majorHAnsi"/>
                <w:sz w:val="18"/>
                <w:szCs w:val="18"/>
              </w:rPr>
            </w:pPr>
          </w:p>
          <w:p w14:paraId="3FC5544A" w14:textId="77777777" w:rsidR="00B80176" w:rsidRPr="00275976" w:rsidRDefault="00B80176" w:rsidP="00616035">
            <w:pPr>
              <w:jc w:val="both"/>
              <w:rPr>
                <w:rFonts w:asciiTheme="majorHAnsi" w:hAnsiTheme="majorHAnsi" w:cstheme="majorHAnsi"/>
                <w:sz w:val="18"/>
                <w:szCs w:val="18"/>
              </w:rPr>
            </w:pPr>
            <w:r w:rsidRPr="00275976">
              <w:rPr>
                <w:rFonts w:asciiTheme="majorHAnsi" w:hAnsiTheme="majorHAnsi" w:cstheme="majorHAnsi"/>
                <w:sz w:val="18"/>
                <w:szCs w:val="18"/>
              </w:rPr>
              <w:t xml:space="preserve">Aquellos alumnos que no consigan superar la asignatura en la convocatoria ordinaria (I) de junio, tendrán la oportunidad de hacerlo realizando una prueba final presencial de la asignatura que se celebrará en el mes </w:t>
            </w:r>
            <w:r w:rsidRPr="00275976">
              <w:rPr>
                <w:rFonts w:asciiTheme="majorHAnsi" w:hAnsiTheme="majorHAnsi" w:cstheme="majorHAnsi"/>
                <w:b/>
                <w:sz w:val="18"/>
                <w:szCs w:val="18"/>
              </w:rPr>
              <w:t>de septiembre</w:t>
            </w:r>
            <w:r w:rsidRPr="00275976">
              <w:rPr>
                <w:rFonts w:asciiTheme="majorHAnsi" w:hAnsiTheme="majorHAnsi" w:cstheme="majorHAnsi"/>
                <w:sz w:val="18"/>
                <w:szCs w:val="18"/>
              </w:rPr>
              <w:t xml:space="preserve"> (la fecha de examen se fijará de común acuerdo entre el alumno y profesor) a modo de </w:t>
            </w:r>
            <w:r w:rsidRPr="00275976">
              <w:rPr>
                <w:rFonts w:asciiTheme="majorHAnsi" w:hAnsiTheme="majorHAnsi" w:cstheme="majorHAnsi"/>
                <w:b/>
                <w:sz w:val="18"/>
                <w:szCs w:val="18"/>
              </w:rPr>
              <w:t>convocatoria (II)</w:t>
            </w:r>
            <w:r w:rsidRPr="00275976">
              <w:rPr>
                <w:rFonts w:asciiTheme="majorHAnsi" w:hAnsiTheme="majorHAnsi" w:cstheme="majorHAnsi"/>
                <w:sz w:val="18"/>
                <w:szCs w:val="18"/>
              </w:rPr>
              <w:t xml:space="preserve"> o de recuperación de curso. Esta prueba final incluirá una parte teórica, tipo test, sobre conceptos teóricos estudiados en la asignatura y una parte práctica similar a las realizadas durante el estudio de la asignatura, siendo necesario aprobar ambas partes (teoría y práctica) de manera independiente para poder superar la asignatura. </w:t>
            </w:r>
          </w:p>
          <w:p w14:paraId="103F618B" w14:textId="77777777" w:rsidR="00B80176" w:rsidRPr="00275976" w:rsidRDefault="00B80176" w:rsidP="00616035">
            <w:pPr>
              <w:jc w:val="both"/>
              <w:rPr>
                <w:rFonts w:asciiTheme="majorHAnsi" w:hAnsiTheme="majorHAnsi" w:cstheme="majorHAnsi"/>
                <w:sz w:val="18"/>
                <w:szCs w:val="18"/>
              </w:rPr>
            </w:pPr>
          </w:p>
          <w:p w14:paraId="6A8DCFFC" w14:textId="77777777" w:rsidR="00275976" w:rsidRPr="00275976" w:rsidRDefault="00B80176" w:rsidP="00275976">
            <w:pPr>
              <w:jc w:val="both"/>
              <w:rPr>
                <w:rFonts w:asciiTheme="majorHAnsi" w:hAnsiTheme="majorHAnsi" w:cstheme="majorHAnsi"/>
                <w:sz w:val="18"/>
                <w:szCs w:val="18"/>
              </w:rPr>
            </w:pPr>
            <w:r w:rsidRPr="00275976">
              <w:rPr>
                <w:rFonts w:asciiTheme="majorHAnsi" w:hAnsiTheme="majorHAnsi" w:cstheme="majorHAnsi"/>
                <w:sz w:val="18"/>
                <w:szCs w:val="18"/>
              </w:rPr>
              <w:t xml:space="preserve">Para </w:t>
            </w:r>
            <w:r w:rsidRPr="00275976">
              <w:rPr>
                <w:rFonts w:asciiTheme="majorHAnsi" w:hAnsiTheme="majorHAnsi" w:cstheme="majorHAnsi"/>
                <w:b/>
                <w:sz w:val="18"/>
                <w:szCs w:val="18"/>
              </w:rPr>
              <w:t>la convocatoria (III)</w:t>
            </w:r>
            <w:r w:rsidRPr="00275976">
              <w:rPr>
                <w:rFonts w:asciiTheme="majorHAnsi" w:hAnsiTheme="majorHAnsi" w:cstheme="majorHAnsi"/>
                <w:sz w:val="18"/>
                <w:szCs w:val="18"/>
              </w:rPr>
              <w:t xml:space="preserve"> o de recuperación en curso posterior los alumnos realizarán una prueba final presencial de la asignatura entre la última semana de noviembre y la primera de diciembre (el alumno deberá solicitar dicha convocatoria a la dirección del máster) que incluirá una parte teórica, tipo test, sobre conceptos teóricos estudiados en la asignatura y una parte práctica similar a las realizadas durante el estudio de la asignatura, siendo necesario aprobar ambas partes (teoría y práctica) de manera independiente para poder superar la asignatura.</w:t>
            </w:r>
          </w:p>
          <w:p w14:paraId="5D70E31E" w14:textId="77777777" w:rsidR="00275976" w:rsidRPr="00275976" w:rsidRDefault="00275976" w:rsidP="00275976">
            <w:pPr>
              <w:jc w:val="both"/>
              <w:rPr>
                <w:rFonts w:asciiTheme="majorHAnsi" w:hAnsiTheme="majorHAnsi" w:cstheme="majorHAnsi"/>
                <w:color w:val="000000"/>
                <w:sz w:val="18"/>
                <w:szCs w:val="18"/>
              </w:rPr>
            </w:pPr>
          </w:p>
          <w:p w14:paraId="4EC5D74E" w14:textId="77777777" w:rsidR="00275976" w:rsidRPr="00275976" w:rsidRDefault="00275976" w:rsidP="00275976">
            <w:pPr>
              <w:jc w:val="both"/>
              <w:rPr>
                <w:rFonts w:asciiTheme="majorHAnsi" w:hAnsiTheme="majorHAnsi" w:cstheme="majorHAnsi"/>
                <w:sz w:val="18"/>
                <w:szCs w:val="18"/>
              </w:rPr>
            </w:pPr>
            <w:r w:rsidRPr="00275976">
              <w:rPr>
                <w:rFonts w:asciiTheme="majorHAnsi" w:hAnsiTheme="majorHAnsi" w:cstheme="majorHAnsi"/>
                <w:color w:val="000000"/>
                <w:sz w:val="18"/>
                <w:szCs w:val="18"/>
              </w:rPr>
              <w:t>El estudiante podrá optar por la </w:t>
            </w:r>
            <w:r w:rsidRPr="00275976">
              <w:rPr>
                <w:rFonts w:asciiTheme="majorHAnsi" w:hAnsiTheme="majorHAnsi" w:cstheme="majorHAnsi"/>
                <w:b/>
                <w:bCs/>
                <w:color w:val="000000"/>
                <w:sz w:val="18"/>
                <w:szCs w:val="18"/>
              </w:rPr>
              <w:t>evaluación única final</w:t>
            </w:r>
            <w:r w:rsidRPr="00275976">
              <w:rPr>
                <w:rFonts w:asciiTheme="majorHAnsi" w:hAnsiTheme="majorHAnsi" w:cstheme="majorHAnsi"/>
                <w:color w:val="000000"/>
                <w:sz w:val="18"/>
                <w:szCs w:val="18"/>
              </w:rPr>
              <w:t xml:space="preserve">, tal y como se expresa en el artículo 8 del Reglamento de evaluación de la Universidad de Huelva, para lo cual deberá comunicar dicha opción, en las dos primeras semanas de impartición de la asignatura, o en las dos semanas siguientes a su matriculación si ésta se ha producido con posterioridad al inicio de la asignatura, a la dirección de correo electrónico del profesor o profesora (con acuse de recibo) que aparece en la guía docente. En este caso, la prueba constará de un examen teórico cuyo valor será del 50% de la nota final y que comprenderá el temario de la asignatura, así como un examen práctico, cuyo valor será el 50% de la nota final. El examen práctico versará sobre cuestiones impartidas en las sesiones prácticas de la asignatura, </w:t>
            </w:r>
          </w:p>
          <w:p w14:paraId="16E1AA46" w14:textId="77777777" w:rsidR="00275976" w:rsidRPr="00456E50" w:rsidRDefault="00275976" w:rsidP="00275976">
            <w:pPr>
              <w:shd w:val="clear" w:color="auto" w:fill="FFFFFF"/>
              <w:jc w:val="both"/>
              <w:rPr>
                <w:rFonts w:ascii="Calibri" w:hAnsi="Calibri"/>
                <w:b/>
                <w:sz w:val="18"/>
                <w:szCs w:val="18"/>
              </w:rPr>
            </w:pPr>
          </w:p>
        </w:tc>
      </w:tr>
    </w:tbl>
    <w:p w14:paraId="4C3896C5" w14:textId="77777777" w:rsidR="000C15AB" w:rsidRDefault="000C15AB"/>
    <w:sectPr w:rsidR="000C15AB" w:rsidSect="00680FF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A2AF4"/>
    <w:multiLevelType w:val="hybridMultilevel"/>
    <w:tmpl w:val="FCE2033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0C23D27"/>
    <w:multiLevelType w:val="hybridMultilevel"/>
    <w:tmpl w:val="A61E3798"/>
    <w:lvl w:ilvl="0" w:tplc="0003040A">
      <w:numFmt w:val="none"/>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257D0"/>
    <w:multiLevelType w:val="hybridMultilevel"/>
    <w:tmpl w:val="17A696E2"/>
    <w:lvl w:ilvl="0" w:tplc="B7167A0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A675E"/>
    <w:multiLevelType w:val="hybridMultilevel"/>
    <w:tmpl w:val="8154D95C"/>
    <w:lvl w:ilvl="0" w:tplc="B7167A0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F3147"/>
    <w:multiLevelType w:val="hybridMultilevel"/>
    <w:tmpl w:val="E3CA62A6"/>
    <w:lvl w:ilvl="0" w:tplc="B7167A0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12E"/>
    <w:rsid w:val="00031802"/>
    <w:rsid w:val="000C15AB"/>
    <w:rsid w:val="0013701F"/>
    <w:rsid w:val="00191609"/>
    <w:rsid w:val="00275976"/>
    <w:rsid w:val="003444E3"/>
    <w:rsid w:val="004250B9"/>
    <w:rsid w:val="00531993"/>
    <w:rsid w:val="00575843"/>
    <w:rsid w:val="005D6C35"/>
    <w:rsid w:val="00616035"/>
    <w:rsid w:val="0065384B"/>
    <w:rsid w:val="00680FF6"/>
    <w:rsid w:val="00A757A5"/>
    <w:rsid w:val="00AC0EF6"/>
    <w:rsid w:val="00B80176"/>
    <w:rsid w:val="00B91362"/>
    <w:rsid w:val="00BC10D2"/>
    <w:rsid w:val="00C66D54"/>
    <w:rsid w:val="00CB412E"/>
    <w:rsid w:val="00D642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A7887"/>
  <w15:docId w15:val="{B6F234CE-8137-C340-9CF3-10AD1275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12E"/>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uiPriority w:val="99"/>
    <w:unhideWhenUsed/>
    <w:qFormat/>
    <w:rsid w:val="00B91362"/>
    <w:pPr>
      <w:jc w:val="both"/>
    </w:pPr>
    <w:rPr>
      <w:sz w:val="20"/>
    </w:rPr>
  </w:style>
  <w:style w:type="character" w:customStyle="1" w:styleId="TextonotapieCar">
    <w:name w:val="Texto nota pie Car"/>
    <w:basedOn w:val="Fuentedeprrafopredeter"/>
    <w:link w:val="Textonotapie"/>
    <w:uiPriority w:val="99"/>
    <w:rsid w:val="00B91362"/>
    <w:rPr>
      <w:rFonts w:ascii="Times New Roman" w:hAnsi="Times New Roman"/>
      <w:sz w:val="20"/>
    </w:rPr>
  </w:style>
  <w:style w:type="paragraph" w:styleId="Prrafodelista">
    <w:name w:val="List Paragraph"/>
    <w:basedOn w:val="Normal"/>
    <w:uiPriority w:val="34"/>
    <w:qFormat/>
    <w:rsid w:val="0065384B"/>
    <w:pPr>
      <w:ind w:left="720"/>
      <w:contextualSpacing/>
    </w:pPr>
  </w:style>
  <w:style w:type="character" w:styleId="Hipervnculo">
    <w:name w:val="Hyperlink"/>
    <w:basedOn w:val="Fuentedeprrafopredeter"/>
    <w:uiPriority w:val="99"/>
    <w:unhideWhenUsed/>
    <w:rsid w:val="00B801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1019</Words>
  <Characters>5610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DE HUELVA</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PÉREZ GUERRERO</dc:creator>
  <cp:lastModifiedBy>Pablo Díaz Suárez-Bárcena</cp:lastModifiedBy>
  <cp:revision>2</cp:revision>
  <dcterms:created xsi:type="dcterms:W3CDTF">2021-06-28T08:23:00Z</dcterms:created>
  <dcterms:modified xsi:type="dcterms:W3CDTF">2021-06-28T08:23:00Z</dcterms:modified>
</cp:coreProperties>
</file>